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00001" w14:textId="77777777" w:rsidR="00987597" w:rsidRDefault="00000000">
      <w:pPr>
        <w:pStyle w:val="Heading5"/>
        <w:keepNext w:val="0"/>
        <w:keepLines w:val="0"/>
        <w:spacing w:before="0" w:after="0"/>
        <w:jc w:val="center"/>
        <w:rPr>
          <w:rFonts w:ascii="Handlee" w:eastAsia="Handlee" w:hAnsi="Handlee" w:cs="Handlee"/>
          <w:b/>
          <w:color w:val="000000"/>
          <w:sz w:val="40"/>
          <w:szCs w:val="40"/>
        </w:rPr>
      </w:pPr>
      <w:bookmarkStart w:id="0" w:name="_15d5iybkdmsi" w:colFirst="0" w:colLast="0"/>
      <w:bookmarkEnd w:id="0"/>
      <w:r>
        <w:rPr>
          <w:rFonts w:ascii="Handlee" w:eastAsia="Handlee" w:hAnsi="Handlee" w:cs="Handlee"/>
          <w:b/>
          <w:color w:val="000000"/>
          <w:sz w:val="40"/>
          <w:szCs w:val="40"/>
        </w:rPr>
        <w:t>Final Pay Settlement Form</w:t>
      </w:r>
    </w:p>
    <w:p w14:paraId="00000002" w14:textId="77777777" w:rsidR="00987597" w:rsidRDefault="00987597">
      <w:pPr>
        <w:rPr>
          <w:rFonts w:ascii="Handlee" w:eastAsia="Handlee" w:hAnsi="Handlee" w:cs="Handlee"/>
        </w:rPr>
      </w:pPr>
    </w:p>
    <w:p w14:paraId="00000003" w14:textId="77777777" w:rsidR="00987597" w:rsidRDefault="00987597">
      <w:pPr>
        <w:rPr>
          <w:rFonts w:ascii="Handlee" w:eastAsia="Handlee" w:hAnsi="Handlee" w:cs="Handlee"/>
        </w:rPr>
      </w:pPr>
    </w:p>
    <w:p w14:paraId="00000004" w14:textId="77777777" w:rsidR="00987597" w:rsidRDefault="00987597">
      <w:pPr>
        <w:rPr>
          <w:rFonts w:ascii="Handlee" w:eastAsia="Handlee" w:hAnsi="Handlee" w:cs="Handlee"/>
        </w:rPr>
      </w:pPr>
    </w:p>
    <w:p w14:paraId="00000005" w14:textId="77777777" w:rsidR="00987597" w:rsidRDefault="00000000">
      <w:pPr>
        <w:rPr>
          <w:rFonts w:ascii="Handlee" w:eastAsia="Handlee" w:hAnsi="Handlee" w:cs="Handlee"/>
          <w:sz w:val="28"/>
          <w:szCs w:val="28"/>
        </w:rPr>
      </w:pPr>
      <w:r>
        <w:rPr>
          <w:rFonts w:ascii="Handlee" w:eastAsia="Handlee" w:hAnsi="Handlee" w:cs="Handlee"/>
          <w:b/>
          <w:sz w:val="28"/>
          <w:szCs w:val="28"/>
        </w:rPr>
        <w:t>Employee Name:</w:t>
      </w:r>
      <w:r>
        <w:rPr>
          <w:rFonts w:ascii="Handlee" w:eastAsia="Handlee" w:hAnsi="Handlee" w:cs="Handlee"/>
          <w:sz w:val="28"/>
          <w:szCs w:val="28"/>
        </w:rPr>
        <w:t xml:space="preserve"> </w:t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</w:p>
    <w:p w14:paraId="00000006" w14:textId="77777777" w:rsidR="00987597" w:rsidRDefault="00000000">
      <w:pPr>
        <w:rPr>
          <w:rFonts w:ascii="Handlee" w:eastAsia="Handlee" w:hAnsi="Handlee" w:cs="Handlee"/>
          <w:sz w:val="28"/>
          <w:szCs w:val="28"/>
        </w:rPr>
      </w:pPr>
      <w:r>
        <w:rPr>
          <w:rFonts w:ascii="Handlee" w:eastAsia="Handlee" w:hAnsi="Handlee" w:cs="Handlee"/>
          <w:sz w:val="28"/>
          <w:szCs w:val="28"/>
        </w:rPr>
        <w:br/>
      </w:r>
      <w:r>
        <w:rPr>
          <w:rFonts w:ascii="Handlee" w:eastAsia="Handlee" w:hAnsi="Handlee" w:cs="Handlee"/>
          <w:b/>
          <w:sz w:val="28"/>
          <w:szCs w:val="28"/>
        </w:rPr>
        <w:t>Position:</w:t>
      </w:r>
      <w:r>
        <w:rPr>
          <w:rFonts w:ascii="Handlee" w:eastAsia="Handlee" w:hAnsi="Handlee" w:cs="Handlee"/>
          <w:sz w:val="28"/>
          <w:szCs w:val="28"/>
        </w:rPr>
        <w:t xml:space="preserve"> </w:t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</w:p>
    <w:p w14:paraId="00000007" w14:textId="77777777" w:rsidR="00987597" w:rsidRDefault="00000000">
      <w:pPr>
        <w:rPr>
          <w:rFonts w:ascii="Handlee" w:eastAsia="Handlee" w:hAnsi="Handlee" w:cs="Handlee"/>
          <w:sz w:val="28"/>
          <w:szCs w:val="28"/>
        </w:rPr>
      </w:pPr>
      <w:r>
        <w:rPr>
          <w:rFonts w:ascii="Handlee" w:eastAsia="Handlee" w:hAnsi="Handlee" w:cs="Handlee"/>
          <w:sz w:val="28"/>
          <w:szCs w:val="28"/>
        </w:rPr>
        <w:br/>
      </w:r>
      <w:r>
        <w:rPr>
          <w:rFonts w:ascii="Handlee" w:eastAsia="Handlee" w:hAnsi="Handlee" w:cs="Handlee"/>
          <w:b/>
          <w:sz w:val="28"/>
          <w:szCs w:val="28"/>
        </w:rPr>
        <w:t>Last Working Day:</w:t>
      </w:r>
      <w:r>
        <w:rPr>
          <w:rFonts w:ascii="Handlee" w:eastAsia="Handlee" w:hAnsi="Handlee" w:cs="Handlee"/>
          <w:sz w:val="28"/>
          <w:szCs w:val="28"/>
        </w:rPr>
        <w:t xml:space="preserve"> </w:t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</w:p>
    <w:p w14:paraId="00000008" w14:textId="77777777" w:rsidR="00987597" w:rsidRDefault="00987597">
      <w:pPr>
        <w:rPr>
          <w:rFonts w:ascii="Handlee" w:eastAsia="Handlee" w:hAnsi="Handlee" w:cs="Handlee"/>
          <w:sz w:val="28"/>
          <w:szCs w:val="28"/>
        </w:rPr>
      </w:pPr>
    </w:p>
    <w:p w14:paraId="00000009" w14:textId="77777777" w:rsidR="00987597" w:rsidRDefault="00000000">
      <w:pPr>
        <w:rPr>
          <w:rFonts w:ascii="Handlee" w:eastAsia="Handlee" w:hAnsi="Handlee" w:cs="Handlee"/>
          <w:b/>
          <w:sz w:val="28"/>
          <w:szCs w:val="28"/>
        </w:rPr>
      </w:pPr>
      <w:r>
        <w:rPr>
          <w:rFonts w:ascii="Handlee" w:eastAsia="Handlee" w:hAnsi="Handlee" w:cs="Handlee"/>
          <w:b/>
          <w:sz w:val="28"/>
          <w:szCs w:val="28"/>
        </w:rPr>
        <w:t>Final Pay Calculation:</w:t>
      </w:r>
    </w:p>
    <w:p w14:paraId="0000000A" w14:textId="77777777" w:rsidR="00987597" w:rsidRDefault="00987597">
      <w:pPr>
        <w:rPr>
          <w:rFonts w:ascii="Handlee" w:eastAsia="Handlee" w:hAnsi="Handlee" w:cs="Handlee"/>
          <w:b/>
          <w:sz w:val="28"/>
          <w:szCs w:val="28"/>
        </w:rPr>
      </w:pPr>
    </w:p>
    <w:p w14:paraId="0000000B" w14:textId="77777777" w:rsidR="00987597" w:rsidRDefault="00000000">
      <w:pPr>
        <w:numPr>
          <w:ilvl w:val="0"/>
          <w:numId w:val="1"/>
        </w:numPr>
        <w:rPr>
          <w:rFonts w:ascii="Handlee" w:eastAsia="Handlee" w:hAnsi="Handlee" w:cs="Handlee"/>
          <w:sz w:val="28"/>
          <w:szCs w:val="28"/>
        </w:rPr>
      </w:pPr>
      <w:r>
        <w:rPr>
          <w:rFonts w:ascii="Handlee" w:eastAsia="Handlee" w:hAnsi="Handlee" w:cs="Handlee"/>
          <w:sz w:val="28"/>
          <w:szCs w:val="28"/>
        </w:rPr>
        <w:t xml:space="preserve">Outstanding Salary: </w:t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</w:p>
    <w:p w14:paraId="0000000C" w14:textId="77777777" w:rsidR="00987597" w:rsidRDefault="00987597">
      <w:pPr>
        <w:rPr>
          <w:rFonts w:ascii="Handlee" w:eastAsia="Handlee" w:hAnsi="Handlee" w:cs="Handlee"/>
          <w:sz w:val="28"/>
          <w:szCs w:val="28"/>
        </w:rPr>
      </w:pPr>
    </w:p>
    <w:p w14:paraId="0000000D" w14:textId="77777777" w:rsidR="00987597" w:rsidRDefault="00000000">
      <w:pPr>
        <w:numPr>
          <w:ilvl w:val="0"/>
          <w:numId w:val="1"/>
        </w:numPr>
        <w:rPr>
          <w:rFonts w:ascii="Handlee" w:eastAsia="Handlee" w:hAnsi="Handlee" w:cs="Handlee"/>
          <w:sz w:val="28"/>
          <w:szCs w:val="28"/>
        </w:rPr>
      </w:pPr>
      <w:r>
        <w:rPr>
          <w:rFonts w:ascii="Handlee" w:eastAsia="Handlee" w:hAnsi="Handlee" w:cs="Handlee"/>
          <w:sz w:val="28"/>
          <w:szCs w:val="28"/>
        </w:rPr>
        <w:t xml:space="preserve">Unused Vacation Pay: </w:t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</w:p>
    <w:p w14:paraId="0000000E" w14:textId="77777777" w:rsidR="00987597" w:rsidRDefault="00987597">
      <w:pPr>
        <w:rPr>
          <w:rFonts w:ascii="Handlee" w:eastAsia="Handlee" w:hAnsi="Handlee" w:cs="Handlee"/>
          <w:sz w:val="28"/>
          <w:szCs w:val="28"/>
        </w:rPr>
      </w:pPr>
    </w:p>
    <w:p w14:paraId="0000000F" w14:textId="77777777" w:rsidR="00987597" w:rsidRDefault="00000000">
      <w:pPr>
        <w:numPr>
          <w:ilvl w:val="0"/>
          <w:numId w:val="1"/>
        </w:numPr>
        <w:rPr>
          <w:rFonts w:ascii="Handlee" w:eastAsia="Handlee" w:hAnsi="Handlee" w:cs="Handlee"/>
          <w:sz w:val="28"/>
          <w:szCs w:val="28"/>
        </w:rPr>
      </w:pPr>
      <w:r>
        <w:rPr>
          <w:rFonts w:ascii="Handlee" w:eastAsia="Handlee" w:hAnsi="Handlee" w:cs="Handlee"/>
          <w:sz w:val="28"/>
          <w:szCs w:val="28"/>
        </w:rPr>
        <w:t xml:space="preserve">Other Deductions/Additions: </w:t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</w:p>
    <w:p w14:paraId="00000010" w14:textId="77777777" w:rsidR="00987597" w:rsidRDefault="00987597">
      <w:pPr>
        <w:rPr>
          <w:rFonts w:ascii="Handlee" w:eastAsia="Handlee" w:hAnsi="Handlee" w:cs="Handlee"/>
          <w:sz w:val="28"/>
          <w:szCs w:val="28"/>
        </w:rPr>
      </w:pPr>
    </w:p>
    <w:p w14:paraId="00000011" w14:textId="77777777" w:rsidR="00987597" w:rsidRDefault="00987597">
      <w:pPr>
        <w:rPr>
          <w:rFonts w:ascii="Handlee" w:eastAsia="Handlee" w:hAnsi="Handlee" w:cs="Handlee"/>
          <w:sz w:val="28"/>
          <w:szCs w:val="28"/>
        </w:rPr>
      </w:pPr>
    </w:p>
    <w:p w14:paraId="00000012" w14:textId="77777777" w:rsidR="00987597" w:rsidRDefault="00000000">
      <w:pPr>
        <w:rPr>
          <w:rFonts w:ascii="Handlee" w:eastAsia="Handlee" w:hAnsi="Handlee" w:cs="Handlee"/>
        </w:rPr>
      </w:pPr>
      <w:r>
        <w:rPr>
          <w:rFonts w:ascii="Handlee" w:eastAsia="Handlee" w:hAnsi="Handlee" w:cs="Handlee"/>
          <w:b/>
          <w:sz w:val="28"/>
          <w:szCs w:val="28"/>
        </w:rPr>
        <w:t>Total Payable Amount:</w:t>
      </w:r>
      <w:r>
        <w:rPr>
          <w:rFonts w:ascii="Handlee" w:eastAsia="Handlee" w:hAnsi="Handlee" w:cs="Handlee"/>
          <w:sz w:val="28"/>
          <w:szCs w:val="28"/>
        </w:rPr>
        <w:t xml:space="preserve"> </w:t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</w:p>
    <w:p w14:paraId="00000013" w14:textId="77777777" w:rsidR="00987597" w:rsidRDefault="00987597">
      <w:pPr>
        <w:rPr>
          <w:rFonts w:ascii="Handlee" w:eastAsia="Handlee" w:hAnsi="Handlee" w:cs="Handlee"/>
        </w:rPr>
      </w:pPr>
    </w:p>
    <w:p w14:paraId="00000014" w14:textId="77777777" w:rsidR="00987597" w:rsidRDefault="00987597">
      <w:pPr>
        <w:rPr>
          <w:rFonts w:ascii="Handlee" w:eastAsia="Handlee" w:hAnsi="Handlee" w:cs="Handlee"/>
        </w:rPr>
      </w:pPr>
    </w:p>
    <w:p w14:paraId="00000015" w14:textId="77777777" w:rsidR="00987597" w:rsidRDefault="00987597">
      <w:pPr>
        <w:rPr>
          <w:rFonts w:ascii="Handlee" w:eastAsia="Handlee" w:hAnsi="Handlee" w:cs="Handlee"/>
        </w:rPr>
      </w:pPr>
    </w:p>
    <w:p w14:paraId="00000016" w14:textId="77777777" w:rsidR="00987597" w:rsidRDefault="00987597">
      <w:pPr>
        <w:rPr>
          <w:rFonts w:ascii="Handlee" w:eastAsia="Handlee" w:hAnsi="Handlee" w:cs="Handlee"/>
          <w:sz w:val="28"/>
          <w:szCs w:val="28"/>
        </w:rPr>
      </w:pPr>
    </w:p>
    <w:p w14:paraId="00000017" w14:textId="77777777" w:rsidR="00987597" w:rsidRDefault="00000000">
      <w:pPr>
        <w:rPr>
          <w:rFonts w:ascii="Handlee" w:eastAsia="Handlee" w:hAnsi="Handlee" w:cs="Handlee"/>
          <w:sz w:val="28"/>
          <w:szCs w:val="28"/>
        </w:rPr>
      </w:pPr>
      <w:r>
        <w:rPr>
          <w:rFonts w:ascii="Handlee" w:eastAsia="Handlee" w:hAnsi="Handlee" w:cs="Handlee"/>
          <w:b/>
          <w:sz w:val="28"/>
          <w:szCs w:val="28"/>
        </w:rPr>
        <w:t>Approved By:</w:t>
      </w:r>
      <w:r>
        <w:rPr>
          <w:rFonts w:ascii="Handlee" w:eastAsia="Handlee" w:hAnsi="Handlee" w:cs="Handlee"/>
          <w:sz w:val="28"/>
          <w:szCs w:val="28"/>
        </w:rPr>
        <w:t xml:space="preserve"> </w:t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  <w:r>
        <w:rPr>
          <w:rFonts w:ascii="Handlee" w:eastAsia="Handlee" w:hAnsi="Handlee" w:cs="Handlee"/>
          <w:sz w:val="28"/>
          <w:szCs w:val="28"/>
          <w:u w:val="single"/>
        </w:rPr>
        <w:tab/>
      </w:r>
    </w:p>
    <w:p w14:paraId="00000018" w14:textId="77777777" w:rsidR="00987597" w:rsidRDefault="00000000">
      <w:pPr>
        <w:rPr>
          <w:rFonts w:ascii="Handlee" w:eastAsia="Handlee" w:hAnsi="Handlee" w:cs="Handlee"/>
        </w:rPr>
      </w:pPr>
      <w:r>
        <w:rPr>
          <w:rFonts w:ascii="Handlee" w:eastAsia="Handlee" w:hAnsi="Handlee" w:cs="Handlee"/>
          <w:sz w:val="28"/>
          <w:szCs w:val="28"/>
        </w:rPr>
        <w:br/>
      </w:r>
      <w:r>
        <w:rPr>
          <w:rFonts w:ascii="Handlee" w:eastAsia="Handlee" w:hAnsi="Handlee" w:cs="Handlee"/>
          <w:b/>
          <w:sz w:val="28"/>
          <w:szCs w:val="28"/>
        </w:rPr>
        <w:t>Date:</w:t>
      </w:r>
      <w:r>
        <w:rPr>
          <w:rFonts w:ascii="Handlee" w:eastAsia="Handlee" w:hAnsi="Handlee" w:cs="Handlee"/>
          <w:sz w:val="28"/>
          <w:szCs w:val="28"/>
        </w:rPr>
        <w:t xml:space="preserve"> </w:t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  <w:r>
        <w:rPr>
          <w:rFonts w:ascii="Handlee" w:eastAsia="Handlee" w:hAnsi="Handlee" w:cs="Handlee"/>
          <w:u w:val="single"/>
        </w:rPr>
        <w:tab/>
      </w:r>
    </w:p>
    <w:p w14:paraId="00000019" w14:textId="77777777" w:rsidR="00987597" w:rsidRDefault="00987597">
      <w:pPr>
        <w:rPr>
          <w:rFonts w:ascii="Handlee" w:eastAsia="Handlee" w:hAnsi="Handlee" w:cs="Handlee"/>
        </w:rPr>
      </w:pPr>
    </w:p>
    <w:sectPr w:rsidR="00987597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4CB091" w14:textId="77777777" w:rsidR="001B0D64" w:rsidRDefault="001B0D64">
      <w:pPr>
        <w:spacing w:line="240" w:lineRule="auto"/>
      </w:pPr>
      <w:r>
        <w:separator/>
      </w:r>
    </w:p>
  </w:endnote>
  <w:endnote w:type="continuationSeparator" w:id="0">
    <w:p w14:paraId="15E2D83C" w14:textId="77777777" w:rsidR="001B0D64" w:rsidRDefault="001B0D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00"/>
    <w:family w:val="auto"/>
    <w:pitch w:val="default"/>
    <w:embedRegular r:id="rId1" w:fontKey="{4F81C238-30B8-4D46-A529-4AA1006C35E9}"/>
    <w:embedBold r:id="rId2" w:fontKey="{F8793897-7E30-454C-B407-6B096EE4E6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AE35638-DB84-426B-B5F8-A99D659B4C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19823BD-15AA-42F2-AF7D-C084D9CB2A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A" w14:textId="77777777" w:rsidR="00987597" w:rsidRDefault="00000000">
    <w:pPr>
      <w:rPr>
        <w:sz w:val="18"/>
        <w:szCs w:val="18"/>
      </w:rPr>
    </w:pPr>
    <w:r>
      <w:rPr>
        <w:sz w:val="18"/>
        <w:szCs w:val="18"/>
      </w:rPr>
      <w:t xml:space="preserve">@ Copyright Techquila Freelancing Inc. 2025. All Rights Reserved.                    </w:t>
    </w:r>
    <w:r>
      <w:rPr>
        <w:sz w:val="18"/>
        <w:szCs w:val="18"/>
      </w:rPr>
      <w:tab/>
      <w:t>General Final Pay Settlement Form</w:t>
    </w:r>
  </w:p>
  <w:p w14:paraId="0000001B" w14:textId="77777777" w:rsidR="00987597" w:rsidRDefault="009875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D79E65" w14:textId="77777777" w:rsidR="001B0D64" w:rsidRDefault="001B0D64">
      <w:pPr>
        <w:spacing w:line="240" w:lineRule="auto"/>
      </w:pPr>
      <w:r>
        <w:separator/>
      </w:r>
    </w:p>
  </w:footnote>
  <w:footnote w:type="continuationSeparator" w:id="0">
    <w:p w14:paraId="130D6161" w14:textId="77777777" w:rsidR="001B0D64" w:rsidRDefault="001B0D6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5B58DF"/>
    <w:multiLevelType w:val="multilevel"/>
    <w:tmpl w:val="36F0E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216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597"/>
    <w:rsid w:val="00117012"/>
    <w:rsid w:val="001B0D64"/>
    <w:rsid w:val="001F1266"/>
    <w:rsid w:val="009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01C228-CFE6-426B-AC77-941D03581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 King</dc:creator>
  <cp:lastModifiedBy>Jodi King</cp:lastModifiedBy>
  <cp:revision>2</cp:revision>
  <dcterms:created xsi:type="dcterms:W3CDTF">2025-01-04T08:30:00Z</dcterms:created>
  <dcterms:modified xsi:type="dcterms:W3CDTF">2025-01-04T08:30:00Z</dcterms:modified>
</cp:coreProperties>
</file>